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035" w:type="dxa"/>
        <w:jc w:val="center"/>
        <w:tblInd w:w="0" w:type="dxa"/>
        <w:shd w:val="clear" w:color="auto" w:fill="auto"/>
        <w:tblLayout w:type="fixed"/>
        <w:tblCellMar>
          <w:top w:w="0" w:type="dxa"/>
          <w:left w:w="0" w:type="dxa"/>
          <w:bottom w:w="0" w:type="dxa"/>
          <w:right w:w="0" w:type="dxa"/>
        </w:tblCellMar>
      </w:tblPr>
      <w:tblGrid>
        <w:gridCol w:w="826"/>
        <w:gridCol w:w="1230"/>
        <w:gridCol w:w="2010"/>
        <w:gridCol w:w="1335"/>
        <w:gridCol w:w="1260"/>
        <w:gridCol w:w="1995"/>
        <w:gridCol w:w="735"/>
        <w:gridCol w:w="644"/>
      </w:tblGrid>
      <w:tr>
        <w:tblPrEx>
          <w:shd w:val="clear" w:color="auto" w:fill="auto"/>
          <w:tblLayout w:type="fixed"/>
          <w:tblCellMar>
            <w:top w:w="0" w:type="dxa"/>
            <w:left w:w="0" w:type="dxa"/>
            <w:bottom w:w="0" w:type="dxa"/>
            <w:right w:w="0" w:type="dxa"/>
          </w:tblCellMar>
        </w:tblPrEx>
        <w:trPr>
          <w:trHeight w:val="450" w:hRule="atLeast"/>
          <w:jc w:val="center"/>
        </w:trPr>
        <w:tc>
          <w:tcPr>
            <w:tcW w:w="10035" w:type="dxa"/>
            <w:gridSpan w:val="8"/>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黑体" w:hAnsi="宋体" w:eastAsia="黑体" w:cs="黑体"/>
                <w:b/>
                <w:i w:val="0"/>
                <w:color w:val="000000"/>
                <w:sz w:val="36"/>
                <w:szCs w:val="36"/>
                <w:u w:val="none"/>
              </w:rPr>
            </w:pPr>
            <w:r>
              <w:rPr>
                <w:rFonts w:hint="eastAsia" w:ascii="黑体" w:hAnsi="宋体" w:eastAsia="黑体" w:cs="黑体"/>
                <w:b/>
                <w:i w:val="0"/>
                <w:color w:val="000000"/>
                <w:kern w:val="0"/>
                <w:sz w:val="36"/>
                <w:szCs w:val="36"/>
                <w:u w:val="none"/>
                <w:lang w:val="en-US" w:eastAsia="zh-CN" w:bidi="ar"/>
              </w:rPr>
              <w:t>技术参数需求表</w:t>
            </w:r>
          </w:p>
        </w:tc>
      </w:tr>
      <w:tr>
        <w:tblPrEx>
          <w:tblLayout w:type="fixed"/>
          <w:tblCellMar>
            <w:top w:w="0" w:type="dxa"/>
            <w:left w:w="0" w:type="dxa"/>
            <w:bottom w:w="0" w:type="dxa"/>
            <w:right w:w="0" w:type="dxa"/>
          </w:tblCellMar>
        </w:tblPrEx>
        <w:trPr>
          <w:trHeight w:val="824" w:hRule="atLeast"/>
          <w:jc w:val="center"/>
        </w:trPr>
        <w:tc>
          <w:tcPr>
            <w:tcW w:w="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b/>
                <w:bCs/>
                <w:i w:val="0"/>
                <w:color w:val="000000"/>
                <w:sz w:val="20"/>
                <w:szCs w:val="20"/>
                <w:u w:val="none"/>
              </w:rPr>
            </w:pPr>
            <w:r>
              <w:rPr>
                <w:rFonts w:hint="eastAsia" w:ascii="黑体" w:hAnsi="宋体" w:eastAsia="黑体" w:cs="黑体"/>
                <w:b/>
                <w:bCs/>
                <w:i w:val="0"/>
                <w:color w:val="000000"/>
                <w:kern w:val="0"/>
                <w:sz w:val="20"/>
                <w:szCs w:val="20"/>
                <w:u w:val="none"/>
                <w:lang w:val="en-US" w:eastAsia="zh-CN" w:bidi="ar"/>
              </w:rPr>
              <w:t>设备名称</w:t>
            </w:r>
          </w:p>
        </w:tc>
        <w:tc>
          <w:tcPr>
            <w:tcW w:w="32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各单位显示屏</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b/>
                <w:bCs/>
                <w:i w:val="0"/>
                <w:color w:val="000000"/>
                <w:sz w:val="20"/>
                <w:szCs w:val="20"/>
                <w:u w:val="none"/>
              </w:rPr>
            </w:pPr>
            <w:r>
              <w:rPr>
                <w:rFonts w:hint="eastAsia" w:ascii="黑体" w:hAnsi="宋体" w:eastAsia="黑体" w:cs="黑体"/>
                <w:b/>
                <w:bCs/>
                <w:i w:val="0"/>
                <w:color w:val="000000"/>
                <w:kern w:val="0"/>
                <w:sz w:val="20"/>
                <w:szCs w:val="20"/>
                <w:u w:val="none"/>
                <w:lang w:val="en-US" w:eastAsia="zh-CN" w:bidi="ar"/>
              </w:rPr>
              <w:t>总数量</w:t>
            </w:r>
            <w:r>
              <w:rPr>
                <w:rFonts w:hint="eastAsia" w:ascii="黑体" w:hAnsi="宋体" w:eastAsia="黑体" w:cs="黑体"/>
                <w:b/>
                <w:bCs/>
                <w:i w:val="0"/>
                <w:color w:val="000000"/>
                <w:kern w:val="0"/>
                <w:sz w:val="20"/>
                <w:szCs w:val="20"/>
                <w:u w:val="none"/>
                <w:lang w:val="en-US" w:eastAsia="zh-CN" w:bidi="ar"/>
              </w:rPr>
              <w:br w:type="textWrapping"/>
            </w:r>
            <w:r>
              <w:rPr>
                <w:rFonts w:hint="eastAsia" w:ascii="黑体" w:hAnsi="宋体" w:eastAsia="黑体" w:cs="黑体"/>
                <w:b/>
                <w:bCs/>
                <w:i w:val="0"/>
                <w:color w:val="000000"/>
                <w:kern w:val="0"/>
                <w:sz w:val="20"/>
                <w:szCs w:val="20"/>
                <w:u w:val="none"/>
                <w:lang w:val="en-US" w:eastAsia="zh-CN" w:bidi="ar"/>
              </w:rPr>
              <w:t>（台/套）</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9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kern w:val="0"/>
                <w:sz w:val="20"/>
                <w:szCs w:val="20"/>
                <w:u w:val="none"/>
                <w:lang w:val="en-US" w:eastAsia="zh-CN" w:bidi="ar"/>
              </w:rPr>
            </w:pPr>
            <w:r>
              <w:rPr>
                <w:rFonts w:hint="eastAsia" w:ascii="黑体" w:hAnsi="宋体" w:eastAsia="黑体" w:cs="黑体"/>
                <w:b/>
                <w:bCs/>
                <w:i w:val="0"/>
                <w:color w:val="000000"/>
                <w:kern w:val="0"/>
                <w:sz w:val="20"/>
                <w:szCs w:val="20"/>
                <w:u w:val="none"/>
                <w:lang w:val="en-US" w:eastAsia="zh-CN" w:bidi="ar"/>
              </w:rPr>
              <w:t>预算总金额（万元）</w:t>
            </w:r>
          </w:p>
        </w:tc>
        <w:tc>
          <w:tcPr>
            <w:tcW w:w="13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90.12</w:t>
            </w:r>
          </w:p>
        </w:tc>
      </w:tr>
      <w:tr>
        <w:tblPrEx>
          <w:tblLayout w:type="fixed"/>
          <w:tblCellMar>
            <w:top w:w="0" w:type="dxa"/>
            <w:left w:w="0" w:type="dxa"/>
            <w:bottom w:w="0" w:type="dxa"/>
            <w:right w:w="0" w:type="dxa"/>
          </w:tblCellMar>
        </w:tblPrEx>
        <w:trPr>
          <w:trHeight w:val="702" w:hRule="atLeast"/>
          <w:jc w:val="center"/>
        </w:trPr>
        <w:tc>
          <w:tcPr>
            <w:tcW w:w="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b/>
                <w:bCs/>
                <w:i w:val="0"/>
                <w:color w:val="000000"/>
                <w:sz w:val="20"/>
                <w:szCs w:val="20"/>
                <w:u w:val="none"/>
              </w:rPr>
            </w:pPr>
            <w:r>
              <w:rPr>
                <w:rFonts w:hint="eastAsia" w:ascii="黑体" w:hAnsi="宋体" w:eastAsia="黑体" w:cs="黑体"/>
                <w:b/>
                <w:bCs/>
                <w:i w:val="0"/>
                <w:color w:val="000000"/>
                <w:kern w:val="0"/>
                <w:sz w:val="20"/>
                <w:szCs w:val="20"/>
                <w:u w:val="none"/>
                <w:lang w:val="en-US" w:eastAsia="zh-CN" w:bidi="ar"/>
              </w:rPr>
              <w:t>序号</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b/>
                <w:bCs/>
                <w:i w:val="0"/>
                <w:color w:val="000000"/>
                <w:sz w:val="20"/>
                <w:szCs w:val="20"/>
                <w:u w:val="none"/>
              </w:rPr>
            </w:pPr>
            <w:r>
              <w:rPr>
                <w:rFonts w:hint="eastAsia" w:ascii="黑体" w:hAnsi="宋体" w:eastAsia="黑体" w:cs="黑体"/>
                <w:b/>
                <w:bCs/>
                <w:i w:val="0"/>
                <w:color w:val="000000"/>
                <w:kern w:val="0"/>
                <w:sz w:val="20"/>
                <w:szCs w:val="20"/>
                <w:u w:val="none"/>
                <w:lang w:val="en-US" w:eastAsia="zh-CN" w:bidi="ar"/>
              </w:rPr>
              <w:t>技术和性能参数名称</w:t>
            </w:r>
          </w:p>
        </w:tc>
        <w:tc>
          <w:tcPr>
            <w:tcW w:w="73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b/>
                <w:bCs/>
                <w:i w:val="0"/>
                <w:color w:val="000000"/>
                <w:sz w:val="20"/>
                <w:szCs w:val="20"/>
                <w:u w:val="none"/>
              </w:rPr>
            </w:pPr>
            <w:r>
              <w:rPr>
                <w:rFonts w:hint="eastAsia" w:ascii="黑体" w:hAnsi="宋体" w:eastAsia="黑体" w:cs="黑体"/>
                <w:b/>
                <w:bCs/>
                <w:i w:val="0"/>
                <w:color w:val="000000"/>
                <w:kern w:val="0"/>
                <w:sz w:val="20"/>
                <w:szCs w:val="20"/>
                <w:u w:val="none"/>
                <w:lang w:val="en-US" w:eastAsia="zh-CN" w:bidi="ar"/>
              </w:rPr>
              <w:t>招标参数和性能要求</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b/>
                <w:bCs/>
                <w:i w:val="0"/>
                <w:color w:val="000000"/>
                <w:sz w:val="20"/>
                <w:szCs w:val="20"/>
                <w:u w:val="none"/>
              </w:rPr>
            </w:pPr>
            <w:r>
              <w:rPr>
                <w:rFonts w:hint="eastAsia" w:ascii="黑体" w:hAnsi="宋体" w:eastAsia="黑体" w:cs="黑体"/>
                <w:b/>
                <w:bCs/>
                <w:i w:val="0"/>
                <w:color w:val="000000"/>
                <w:kern w:val="0"/>
                <w:sz w:val="20"/>
                <w:szCs w:val="20"/>
                <w:u w:val="none"/>
                <w:lang w:val="en-US" w:eastAsia="zh-CN" w:bidi="ar"/>
              </w:rPr>
              <w:t>备注</w:t>
            </w:r>
          </w:p>
        </w:tc>
      </w:tr>
      <w:tr>
        <w:tblPrEx>
          <w:tblLayout w:type="fixed"/>
          <w:tblCellMar>
            <w:top w:w="0" w:type="dxa"/>
            <w:left w:w="0" w:type="dxa"/>
            <w:bottom w:w="0" w:type="dxa"/>
            <w:right w:w="0" w:type="dxa"/>
          </w:tblCellMar>
        </w:tblPrEx>
        <w:trPr>
          <w:trHeight w:val="0" w:hRule="atLeast"/>
          <w:jc w:val="center"/>
        </w:trPr>
        <w:tc>
          <w:tcPr>
            <w:tcW w:w="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基本要求</w:t>
            </w:r>
          </w:p>
        </w:tc>
        <w:tc>
          <w:tcPr>
            <w:tcW w:w="73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黑体" w:hAnsi="宋体" w:eastAsia="黑体" w:cs="黑体"/>
                <w:i w:val="0"/>
                <w:color w:val="000000"/>
                <w:sz w:val="20"/>
                <w:szCs w:val="20"/>
                <w:u w:val="none"/>
              </w:rPr>
            </w:pP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黑体" w:hAnsi="宋体" w:eastAsia="黑体" w:cs="黑体"/>
                <w:i w:val="0"/>
                <w:color w:val="000000"/>
                <w:sz w:val="20"/>
                <w:szCs w:val="20"/>
                <w:u w:val="none"/>
              </w:rPr>
            </w:pPr>
          </w:p>
        </w:tc>
      </w:tr>
      <w:tr>
        <w:tblPrEx>
          <w:tblLayout w:type="fixed"/>
          <w:tblCellMar>
            <w:top w:w="0" w:type="dxa"/>
            <w:left w:w="0" w:type="dxa"/>
            <w:bottom w:w="0" w:type="dxa"/>
            <w:right w:w="0" w:type="dxa"/>
          </w:tblCellMar>
        </w:tblPrEx>
        <w:trPr>
          <w:trHeight w:val="0" w:hRule="atLeast"/>
          <w:jc w:val="center"/>
        </w:trPr>
        <w:tc>
          <w:tcPr>
            <w:tcW w:w="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需求描述</w:t>
            </w:r>
          </w:p>
        </w:tc>
        <w:tc>
          <w:tcPr>
            <w:tcW w:w="73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1.要求中标方提供的设备均为国产品牌设备，所采用的软件符合国产化有关要求；</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2.实现各单位音视频播放、图文显示等功能，满足健康宣教、政策宣讲等需求；</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3.LED显示屏需按各点位环境条件完成个性化建设；</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4.产品交付前，中标供应商应当进行产品自检，自检合格后向合同甲方申请验收，甲方验收合格后方可交付；</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5.中标方负责所有设备（含辅材）的供货与安装、调试，供货产品的各项功能、技术性能指标须符合我部要求，系统最终建设效果须达到我部应用需求。双方如对质量要求和技术指标的约定标准有相互抵触或异</w:t>
            </w:r>
            <w:bookmarkStart w:id="0" w:name="_GoBack"/>
            <w:bookmarkEnd w:id="0"/>
            <w:r>
              <w:rPr>
                <w:rFonts w:hint="eastAsia" w:ascii="宋体" w:hAnsi="宋体" w:eastAsia="宋体" w:cs="宋体"/>
                <w:i w:val="0"/>
                <w:color w:val="000000"/>
                <w:kern w:val="0"/>
                <w:sz w:val="20"/>
                <w:szCs w:val="20"/>
                <w:u w:val="none"/>
                <w:lang w:val="en-US" w:eastAsia="zh-CN" w:bidi="ar"/>
              </w:rPr>
              <w:t>议的事项，由采购人在招标与投标文件中按质量要求和技术指标比较优胜的原则确定该项的约定标准进行验收。</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6.LED大屏分别安装于6个地点，其中1个地点安装3块、其余5个地点各安装1块。</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0" w:hRule="atLeast"/>
          <w:jc w:val="center"/>
        </w:trPr>
        <w:tc>
          <w:tcPr>
            <w:tcW w:w="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采购明细</w:t>
            </w:r>
          </w:p>
        </w:tc>
        <w:tc>
          <w:tcPr>
            <w:tcW w:w="73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*1.LED大屏（本级6层会议室） 1块</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*2.LED大屏（本级6层大厅）   1块</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*3.LED大屏（本级1层大厅）   1块</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*4.LED大屏（地点1大厅）       1块</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*5.LED大屏（地点2大厅）       1块</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*6.LED大屏（地点3大厅）       1块</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*7.LED大屏（地点4大厅）       1块</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*8.室外LED大屏（地点5室外）  1块</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*9.LED拼接处理器（本级）    1台</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*10.电视                 3台</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*11.投影仪               4台</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*12.线缆辅材及安装调试、培训</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0" w:hRule="atLeast"/>
          <w:jc w:val="center"/>
        </w:trPr>
        <w:tc>
          <w:tcPr>
            <w:tcW w:w="82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资质认证</w:t>
            </w:r>
          </w:p>
        </w:tc>
        <w:tc>
          <w:tcPr>
            <w:tcW w:w="73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*1.供应商具有独立法人资格，具有有效的营业执照、组织机构代码证、税务登记证（三证合一的只需提供企业营业执照）；</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供应商应符合《中华人民共和国采购发》第22条资格条件：具有独立承担民事责任的能力；具有良好的商业信誉和健全的财务会计制度；具有履行合同所必须的设备和专业技术能力；具有依法缴纳税收和社会保障资金的良好记录；参加此项活动3年内，在经营活动中没有重大违法记录。</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0" w:hRule="atLeast"/>
          <w:jc w:val="center"/>
        </w:trPr>
        <w:tc>
          <w:tcPr>
            <w:tcW w:w="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技术和性能参数</w:t>
            </w:r>
          </w:p>
        </w:tc>
        <w:tc>
          <w:tcPr>
            <w:tcW w:w="73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详见3.1-3.13</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0" w:hRule="atLeast"/>
          <w:jc w:val="center"/>
        </w:trPr>
        <w:tc>
          <w:tcPr>
            <w:tcW w:w="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LED大屏（1块）</w:t>
            </w:r>
          </w:p>
        </w:tc>
        <w:tc>
          <w:tcPr>
            <w:tcW w:w="73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·1.点间距：≤1.538mm。像素密度不低于422500点/m2；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·2.安装位置预留尺寸（长宽）：6.4*2.08m。整屏面积≥13.4m2；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3.灯芯参数：灯芯的波长误差值在±1nm之间，每个灯芯的亮度误差在3%以内；</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4.亮度：显示单元亮度≥600Nits，亮度支持手动/自动/软件0-100%无级调节；</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5.整屏平整度：≤0.08mm/m2；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6.刷新频率（Hz）≥3840Hz；</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7.换帧频率：≥60Hz；</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8.可视角度：水平≥160°，垂直≥160°；</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9.白平衡亮度：≥600cd/m2；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10.完整性试验：产品经过抗震、抗冲击、抗碰撞、抗紫外线、跌落检测，且产品外观无损坏，能正常工作；</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11.峰值功率：≤550W/m2；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12.平均功率：≤175W/m2；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13.带黑屏功率：≤15W/m2；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14.环境温度：工作：-10℃~40℃。环境湿度：工作：20%~80%；</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·15.要求能匹配高清矩阵的音视频控制处理能力，支持不低于2台计算机的同屏拼接处理，逐点一一对应，视频同步，实时显示；</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16.LED屏包边需要按照根据安装地点的环境进行装饰包边；</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17.独立音频输出：要求LED屏按照相对应环境对接音频设备（音响，音视频矩阵等）。</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0" w:hRule="atLeast"/>
          <w:jc w:val="center"/>
        </w:trPr>
        <w:tc>
          <w:tcPr>
            <w:tcW w:w="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LED大屏（1块）</w:t>
            </w:r>
          </w:p>
        </w:tc>
        <w:tc>
          <w:tcPr>
            <w:tcW w:w="73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·1.点间距：≤1.86mm。像素密度不低于288762点/m2；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·2.安装位置预留尺寸（长宽）：4.3*1.25m。整屏面积≥5.4m2；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3.灯芯参数：灯芯的波长误差值在±1nm之间，每个灯芯的亮度误差在3%以内；</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4.亮度：显示单元亮度≥600Nits，亮度支持手动/自动/软件0-100%无级调节；</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5.整屏平整度：≤0.08mm/m2；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6.刷新频率（Hz）≥3840Hz；</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7.换帧频率：≥60Hz；</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8.可视角度：水平≥160°，垂直≥160°；</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9.白平衡亮度：≥600cd/m2；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10.完整性试验：产品经过抗震、抗冲击、抗碰撞、抗紫外线、跌落检测，且产品外观无损坏，能正常工作；</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11.峰值功率：≤550W/m2；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12.平均功率：≤175W/m2；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13.带黑屏功率：≤15W/m2；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14.环境温度：工作：工作：-10℃~40℃。环境湿度：工作：20%~80%；</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15.控制方式：计算机控制，逐点一一对应，视频同步，实时显示；</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16.要求LED屏支持音频的输出（声画同步），并支持配备独立音频输出音响设备；</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17.LED屏包边需要按照根据安装地点的环境进行装饰包边。</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0" w:hRule="atLeast"/>
          <w:jc w:val="center"/>
        </w:trPr>
        <w:tc>
          <w:tcPr>
            <w:tcW w:w="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LED大屏（1块）</w:t>
            </w:r>
          </w:p>
        </w:tc>
        <w:tc>
          <w:tcPr>
            <w:tcW w:w="73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·1.点间距：≤2mm。像素密度不低于250000点/m2；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·2.安装位置预留尺寸（长宽）：4.28*1.85m。整屏面积≥8m2；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3.灯芯参数：灯芯的波长误差值在±1nm之间，每个灯芯的亮度误差在3%以内；</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4.亮度：显示单元亮度≥600Nits，亮度支持手动/自动/软件0-100%无级调节；</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5.整屏平整度：≤0.08mm/m2；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6.刷新频率（Hz）≥3840Hz；</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7.换帧频率：≥60Hz；</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8.可视角度：水平≥160°，垂直≥160°；</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9.白平衡亮度：≥600cd/m2；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10.完整性试验：产品经过抗震、抗冲击、抗碰撞、抗紫外线、跌落检测，且产品外观无损坏，能正常工作；</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11.峰值功率：≤550W/m2；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12.平均功率：≤175W/m2；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13.带黑屏功率：≤15W/m2；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14.环境温度：工作：工作：-10℃~40℃。环境湿度：工作：20%~80%；</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15.控制方式：计算机控制，逐点一一对应，视频同步，实时显示；</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16.要求LED屏支持音频的输出（声画同步），并支持配备独立音频输出音响设备；</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17.LED屏包边需要按照根据安装地点的环境进行装饰包边。</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0" w:hRule="atLeast"/>
          <w:jc w:val="center"/>
        </w:trPr>
        <w:tc>
          <w:tcPr>
            <w:tcW w:w="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LED大屏（1块）</w:t>
            </w:r>
          </w:p>
        </w:tc>
        <w:tc>
          <w:tcPr>
            <w:tcW w:w="73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·1.点间距：≤2mm。像素密度不低于250000点/m2；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·2.安装位置预留尺寸（长宽）：3*1.6m。整屏面积≥4.8m2；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3.灯芯参数：灯芯的波长误差值在±1nm之间，每个灯芯的亮度误差在3%以内；</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4.亮度：显示单元亮度≥600Nits，亮度支持手动/自动/软件0-100%无级调节；</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5.整屏平整度：≤0.08mm/m2；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6.刷新频率（Hz）≥3840Hz；</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7.换帧频率：≥60Hz；</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8.可视角度：水平≥160°，垂直≥160°；</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9.白平衡亮度：≥600cd/m2；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10.完整性试验：产品经过抗震、抗冲击、抗碰撞、抗紫外线、跌落检测，且产品外观无损坏，能正常工作；</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11.峰值功率：≤550W/m2；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12.平均功率：≤175W/m2；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13.带黑屏功率：≤15W/m2；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14.环境温度：工作：工作：-10℃~40℃。环境湿度：工作：20%~80%；</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15.控制方式：计算机控制，逐点一一对应，视频同步，实时显示；</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16.要求LED屏支持音频的输出（声画同步），并支持配备独立音频输出音响设备；</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17.LED屏包边需要按照根据安装地点的环境进行装饰包边。</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0" w:hRule="atLeast"/>
          <w:jc w:val="center"/>
        </w:trPr>
        <w:tc>
          <w:tcPr>
            <w:tcW w:w="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LED大屏（1块）</w:t>
            </w:r>
          </w:p>
        </w:tc>
        <w:tc>
          <w:tcPr>
            <w:tcW w:w="73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·1.点间距：≤2.0mm。像素密度不低于250000点/m2；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·2.安装位置预留尺寸（长宽）：5.6*1.7m。整屏面积≥9.6m2；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3.灯芯参数：灯芯的波长误差值在±1nm之间，每个灯芯的亮度误差在3%以内；</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4.亮度：显示单元亮度≥600Nits，亮度支持手动/自动/软件0-100%无级调节；</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5.整屏平整度：≤0.08mm/m2；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6.刷新频率（Hz）≥3840Hz；</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7.换帧频率：≥60Hz；</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8.可视角度：水平≥160°，垂直≥160°；</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9.白平衡亮度：≥600cd/m2；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10.完整性试验：产品经过抗震、抗冲击、抗碰撞、抗紫外线、跌落检测，且产品外观无损坏，能正常工作；</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11.峰值功率：≤550W/m2；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12.平均功率：≤175W/m2；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13.带黑屏功率：≤15W/m2；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14.环境温度：工作：工作：-10℃~40℃。环境湿度：工作：20%~80%；</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15.控制方式：计算机控制，逐点一一对应，视频同步，实时显示；</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16.要求LED屏支持音频的输出（声画同步），并支持配备独立音频输出音响设备；</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17.LED屏包边需要按照根据安装地点的环境进行装饰包边。</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0" w:hRule="atLeast"/>
          <w:jc w:val="center"/>
        </w:trPr>
        <w:tc>
          <w:tcPr>
            <w:tcW w:w="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3.6</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LED大屏（1块）</w:t>
            </w:r>
          </w:p>
        </w:tc>
        <w:tc>
          <w:tcPr>
            <w:tcW w:w="73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·1.点间距：≤2mm。像素密度不低于250000点/m2；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·2.安装位置预留尺寸（长宽）：3.2*1.6m。整屏面积≥5.2m2；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3.灯芯参数：灯芯的波长误差值在±1nm之间，每个灯芯的亮度误差在3%以内；</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4.亮度：显示单元亮度≥600Nits，亮度支持手动/自动/软件0-100%无级调节；</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5.整屏平整度：≤0.08mm/m2；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6.刷新频率（Hz）≥3840Hz；</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7.换帧频率：≥60Hz；</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8.可视角度：水平≥160°，垂直≥160°；</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9.白平衡亮度：≥600cd/m2；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10.完整性试验：产品经过抗震、抗冲击、抗碰撞、抗紫外线、跌落检测，且产品外观无损坏，能正常工作；</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11.峰值功率：≤550W/m2；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12.平均功率：≤175W/m2；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13.带黑屏功率：≤15W/m2；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14.环境温度：工作：工作：-10℃~40℃。环境湿度：工作：20%~80%；</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15.控制方式：计算机控制，逐点一一对应，视频同步，实时显示；</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16.要求LED屏支持音频的输出（声画同步），并支持配备独立音频输出音响设备；</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17.LED屏包边需要按照根据安装地点的环境进行装饰包边。</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0" w:hRule="atLeast"/>
          <w:jc w:val="center"/>
        </w:trPr>
        <w:tc>
          <w:tcPr>
            <w:tcW w:w="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3.7</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LED大屏（1块）</w:t>
            </w:r>
          </w:p>
        </w:tc>
        <w:tc>
          <w:tcPr>
            <w:tcW w:w="73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·1.点间距：≤2mm。像素密度不低于250000点/m2；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·2.安装位置预留尺寸（长宽）：4*2m。整屏面积≥8m2；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3.灯芯参数：灯芯的波长误差值在±1nm之间，每个灯芯的亮度误差在3%以内；</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4.亮度：显示单元亮度≥600Nits，亮度支持手动/自动/软件0-100%无级调节；</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5.整屏平整度：≤0.08mm/m2；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6.刷新频率（Hz）≥3840Hz；</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7.换帧频率：≥60Hz；</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8.可视角度：水平≥160°，垂直≥160°；</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9.白平衡亮度：≥600cd/m2；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10.完整性试验：产品经过抗震、抗冲击、抗碰撞、抗紫外线、跌落检测，且产品外观无损坏，能正常工作；</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11.峰值功率：≤550W/m2；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12.平均功率：≤175W/m2；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13.带黑屏功率：≤15W/m2；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14.环境温度：工作：工作：-10℃~40℃。环境湿度：工作：20%~80%；</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15.控制方式：计算机控制，逐点一一对应，视频同步，实时显示；</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16.要求LED屏支持音频的输出（声画同步），并支持配备独立音频输出音响设备；</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17.LED屏包边需要按照根据安装地点的环境进行装饰包边。</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0" w:hRule="atLeast"/>
          <w:jc w:val="center"/>
        </w:trPr>
        <w:tc>
          <w:tcPr>
            <w:tcW w:w="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3.8</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室外LED大屏</w:t>
            </w:r>
            <w:r>
              <w:rPr>
                <w:rFonts w:hint="eastAsia" w:ascii="宋体" w:hAnsi="宋体" w:eastAsia="宋体" w:cs="宋体"/>
                <w:i w:val="0"/>
                <w:color w:val="000000"/>
                <w:sz w:val="20"/>
                <w:szCs w:val="20"/>
                <w:u w:val="none"/>
                <w:lang w:val="en-US" w:eastAsia="zh-CN"/>
              </w:rPr>
              <w:br w:type="textWrapping"/>
            </w:r>
            <w:r>
              <w:rPr>
                <w:rFonts w:hint="eastAsia" w:ascii="宋体" w:hAnsi="宋体" w:eastAsia="宋体" w:cs="宋体"/>
                <w:i w:val="0"/>
                <w:color w:val="000000"/>
                <w:sz w:val="20"/>
                <w:szCs w:val="20"/>
                <w:u w:val="none"/>
                <w:lang w:val="en-US" w:eastAsia="zh-CN"/>
              </w:rPr>
              <w:t>（户外1块）</w:t>
            </w:r>
          </w:p>
        </w:tc>
        <w:tc>
          <w:tcPr>
            <w:tcW w:w="73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·1.点间距：≤2.5mm。像素密度不低于160000点/m2；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·2.安装位置预留尺寸（长宽）：3.43*2.02m。整屏面积≥6.93m2；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3.灯芯参数：灯芯的波长误差值在±1nm之间，每个灯芯的亮度误差在3%以内；</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4.亮度：显示单元亮度≥600Nits，亮度支持手动/自动/软件0-100%无级调节；</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5.整屏平整度：≤0.08mm/m2；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6.刷新频率（Hz）≥1920Hz；</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7.换帧频率：50/60Hz；</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8.可视角度：水平≥160°，垂直≥160°；</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9.白平衡亮度：≥1100cd/m2；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10.完整性试验：产品经过抗震、抗冲击、抗碰撞、抗紫外线、跌落检测，且产品外观无损坏，能正常工作；</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11.峰值功率：≤550W/m2；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12.平均功率：≤175W/m2；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13.带黑屏功率：≤15W/m2；</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14.环境温度：工作：-20℃~65℃。环境湿度：工作：5%~85%无凝露；符合防尘、防水、防漏电要求。</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15.LED屏包边需要按照根据安装地点的环境进行装饰包边，并支持配备独立音频输出音响设备；</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16.室外LED大屏根据相对应环境进行安装调试。</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0" w:hRule="atLeast"/>
          <w:jc w:val="center"/>
        </w:trPr>
        <w:tc>
          <w:tcPr>
            <w:tcW w:w="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LED屏拼接处理器</w:t>
            </w:r>
            <w:r>
              <w:rPr>
                <w:rFonts w:hint="eastAsia" w:ascii="宋体" w:hAnsi="宋体" w:eastAsia="宋体" w:cs="宋体"/>
                <w:i w:val="0"/>
                <w:color w:val="000000"/>
                <w:sz w:val="20"/>
                <w:szCs w:val="20"/>
                <w:u w:val="none"/>
                <w:lang w:val="en-US" w:eastAsia="zh-CN"/>
              </w:rPr>
              <w:br w:type="textWrapping"/>
            </w:r>
            <w:r>
              <w:rPr>
                <w:rFonts w:hint="eastAsia" w:ascii="宋体" w:hAnsi="宋体" w:eastAsia="宋体" w:cs="宋体"/>
                <w:i w:val="0"/>
                <w:color w:val="000000"/>
                <w:sz w:val="20"/>
                <w:szCs w:val="20"/>
                <w:u w:val="none"/>
                <w:lang w:val="en-US" w:eastAsia="zh-CN"/>
              </w:rPr>
              <w:t>（1台）</w:t>
            </w:r>
          </w:p>
        </w:tc>
        <w:tc>
          <w:tcPr>
            <w:tcW w:w="73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1.支持LED大屏的拼接处理；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2.支持不低于2台PC设备对LED屏的同时输出；</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3.支持HDMI，DVI，DP等输入和输出接口；</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4.支持输出自定义分辨率：≥1920*1080@60Hz带载输出；</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5.支持无缝切换，处理器内部集成高清信号处理机制，保证信号切换无延时、无蓝屏、6.无黑屏等过渡状态；</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7.支持去黑边（输入图像任意裁剪），边缘屏蔽，区域放大等画面实时处理功能；</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8.支持矩阵切换，处理器内部集成矩阵功能，支持单个信号源开多个窗口同时显示。</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用于本级6层会议室LED的拼接</w:t>
            </w:r>
          </w:p>
        </w:tc>
      </w:tr>
      <w:tr>
        <w:tblPrEx>
          <w:tblLayout w:type="fixed"/>
          <w:tblCellMar>
            <w:top w:w="0" w:type="dxa"/>
            <w:left w:w="0" w:type="dxa"/>
            <w:bottom w:w="0" w:type="dxa"/>
            <w:right w:w="0" w:type="dxa"/>
          </w:tblCellMar>
        </w:tblPrEx>
        <w:trPr>
          <w:trHeight w:val="0" w:hRule="atLeast"/>
          <w:jc w:val="center"/>
        </w:trPr>
        <w:tc>
          <w:tcPr>
            <w:tcW w:w="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3.10 </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电视（2台）</w:t>
            </w:r>
          </w:p>
        </w:tc>
        <w:tc>
          <w:tcPr>
            <w:tcW w:w="73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1.接口：支持不小于2个HDMI、1个VGA等；</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2.分辨率：≥3840*2160分辨率的4K超高清画质；</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3.电视屏幕尺寸：≥86英寸；</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4.具备立体声输出功能</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5.能够完成视频会议终端和控制电脑的视频、图像及声音等内容的输出。</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0" w:hRule="atLeast"/>
          <w:jc w:val="center"/>
        </w:trPr>
        <w:tc>
          <w:tcPr>
            <w:tcW w:w="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3.10.1</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电视（1台）</w:t>
            </w:r>
          </w:p>
        </w:tc>
        <w:tc>
          <w:tcPr>
            <w:tcW w:w="73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1.接口：支持不低于2个HDMI、1个VGA等；</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2.分辨率：≥3840*2160分辨率的4K超高清画质；</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3.电视屏幕尺寸：≥65英寸；</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4.具备立体声输出功能</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5.能够完成视频会议终端和控制电脑的视频、图像及声音等内容的输出。</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0" w:hRule="atLeast"/>
          <w:jc w:val="center"/>
        </w:trPr>
        <w:tc>
          <w:tcPr>
            <w:tcW w:w="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3.11</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投影仪(4台)</w:t>
            </w:r>
          </w:p>
        </w:tc>
        <w:tc>
          <w:tcPr>
            <w:tcW w:w="73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1.运行内存：≥3G 内置存储：≥32G；</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2.分辨率：≥1080P，并支持兼容4K解码；</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3.投射画面尺寸：80~150英寸；</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4.亮度：≥3200 ANSI流明；</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5.功耗：≤300w（高亮模式）；</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6.支持自动光学对焦技术；</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7.支持ALPD激光显示技术；</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8.支持TI DLP数字光处理器；</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9.支持不低于2个HDMI 2.0b接口，不低于1个USB 3.0接口，不低于1个光纤接口，不低于1个以太网口；</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·10.支持不低于8点的多点投影校正，支持自动校正、遥控校正，支持自动识别屏幕区域功能；</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0" w:hRule="atLeast"/>
          <w:jc w:val="center"/>
        </w:trPr>
        <w:tc>
          <w:tcPr>
            <w:tcW w:w="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3.12</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线缆辅材及安装调试、培训</w:t>
            </w:r>
          </w:p>
        </w:tc>
        <w:tc>
          <w:tcPr>
            <w:tcW w:w="73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安装调试包括：每块LED屏配套主控、拼接二合一；专用接收卡、发送卡；配电柜；钢结构框架；独立音频输出；安装调试与培训。</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1.主控、拼接二合一：标准UI尺寸，要求匹配每块屏的带载点；输入接口支持HDMI、DVI、3G-SDI、3.5mm独立音频输入；输出支持网口、HDMI；3.5mm独立音频输出。</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2.配电箱：要求匹配每块屏的控制LED智能专用配电柜，电脑直接控制开关供电，烟雾、高温自动断电。</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3.钢架、包边：定制钢结构框架；包边根据安装环境进行包边美化装饰。</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4.安装、调试：专业技术人员。</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0" w:hRule="atLeast"/>
          <w:jc w:val="center"/>
        </w:trPr>
        <w:tc>
          <w:tcPr>
            <w:tcW w:w="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3.13</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集成费</w:t>
            </w:r>
          </w:p>
        </w:tc>
        <w:tc>
          <w:tcPr>
            <w:tcW w:w="73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包括该项目设备采购、安装、调试、系统测试,项目建设所需轴助设备、线缆器材等购置、综合布线施工费。</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0" w:hRule="atLeast"/>
          <w:jc w:val="center"/>
        </w:trPr>
        <w:tc>
          <w:tcPr>
            <w:tcW w:w="82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2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售后条款</w:t>
            </w:r>
          </w:p>
        </w:tc>
        <w:tc>
          <w:tcPr>
            <w:tcW w:w="7335" w:type="dxa"/>
            <w:gridSpan w:val="5"/>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保期从验收合格之日起算，本项目中设备如含有硬盘，须由供货商购买“原厂硬盘无返还服务”≥三年，系统整体免费质保三年（包含所有设备、配件、线缆等），质保期内上门服务（包括维修、更换配件等）不再发生任何费用。</w:t>
            </w:r>
          </w:p>
        </w:tc>
        <w:tc>
          <w:tcPr>
            <w:tcW w:w="6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0" w:hRule="atLeast"/>
          <w:jc w:val="center"/>
        </w:trPr>
        <w:tc>
          <w:tcPr>
            <w:tcW w:w="82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*4.1</w:t>
            </w:r>
          </w:p>
        </w:tc>
        <w:tc>
          <w:tcPr>
            <w:tcW w:w="12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保修年限</w:t>
            </w:r>
          </w:p>
        </w:tc>
        <w:tc>
          <w:tcPr>
            <w:tcW w:w="7335" w:type="dxa"/>
            <w:gridSpan w:val="5"/>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≥3年。</w:t>
            </w:r>
          </w:p>
        </w:tc>
        <w:tc>
          <w:tcPr>
            <w:tcW w:w="6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0" w:hRule="atLeast"/>
          <w:jc w:val="center"/>
        </w:trPr>
        <w:tc>
          <w:tcPr>
            <w:tcW w:w="82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4.2</w:t>
            </w:r>
          </w:p>
        </w:tc>
        <w:tc>
          <w:tcPr>
            <w:tcW w:w="12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预防性维修</w:t>
            </w:r>
            <w:r>
              <w:rPr>
                <w:rFonts w:hint="eastAsia" w:ascii="宋体" w:hAnsi="宋体" w:eastAsia="宋体" w:cs="宋体"/>
                <w:i w:val="0"/>
                <w:color w:val="000000"/>
                <w:sz w:val="20"/>
                <w:szCs w:val="20"/>
                <w:u w:val="none"/>
                <w:lang w:val="en-US" w:eastAsia="zh-CN"/>
              </w:rPr>
              <w:br w:type="textWrapping"/>
            </w:r>
            <w:r>
              <w:rPr>
                <w:rFonts w:hint="eastAsia" w:ascii="宋体" w:hAnsi="宋体" w:eastAsia="宋体" w:cs="宋体"/>
                <w:i w:val="0"/>
                <w:color w:val="000000"/>
                <w:sz w:val="20"/>
                <w:szCs w:val="20"/>
                <w:u w:val="none"/>
                <w:lang w:val="en-US" w:eastAsia="zh-CN"/>
              </w:rPr>
              <w:t>/定期维护保养</w:t>
            </w:r>
          </w:p>
        </w:tc>
        <w:tc>
          <w:tcPr>
            <w:tcW w:w="7335" w:type="dxa"/>
            <w:gridSpan w:val="5"/>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保修期内按维修手册要求提供定期维护保养服务</w:t>
            </w:r>
          </w:p>
        </w:tc>
        <w:tc>
          <w:tcPr>
            <w:tcW w:w="6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0" w:hRule="atLeast"/>
          <w:jc w:val="center"/>
        </w:trPr>
        <w:tc>
          <w:tcPr>
            <w:tcW w:w="82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4.3</w:t>
            </w:r>
          </w:p>
        </w:tc>
        <w:tc>
          <w:tcPr>
            <w:tcW w:w="12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巡检</w:t>
            </w:r>
          </w:p>
        </w:tc>
        <w:tc>
          <w:tcPr>
            <w:tcW w:w="7335" w:type="dxa"/>
            <w:gridSpan w:val="5"/>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要求保修期内每季度巡检一次，提供相应的巡检记录文件，相关负责人、法人签字。</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0" w:hRule="atLeast"/>
          <w:jc w:val="center"/>
        </w:trPr>
        <w:tc>
          <w:tcPr>
            <w:tcW w:w="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4.4</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维修响应时间</w:t>
            </w:r>
          </w:p>
        </w:tc>
        <w:tc>
          <w:tcPr>
            <w:tcW w:w="73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电话24小时实时待机响应，无法解决问题4小时内到达现场，12小时内解决故障，24小时未解决必须更换。</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6"/>
                <w:szCs w:val="16"/>
                <w:u w:val="none"/>
              </w:rPr>
            </w:pPr>
          </w:p>
        </w:tc>
      </w:tr>
      <w:tr>
        <w:tblPrEx>
          <w:tblLayout w:type="fixed"/>
          <w:tblCellMar>
            <w:top w:w="0" w:type="dxa"/>
            <w:left w:w="0" w:type="dxa"/>
            <w:bottom w:w="0" w:type="dxa"/>
            <w:right w:w="0" w:type="dxa"/>
          </w:tblCellMar>
        </w:tblPrEx>
        <w:trPr>
          <w:trHeight w:val="0" w:hRule="atLeast"/>
          <w:jc w:val="center"/>
        </w:trPr>
        <w:tc>
          <w:tcPr>
            <w:tcW w:w="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4.5</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升级与软件维护</w:t>
            </w:r>
          </w:p>
        </w:tc>
        <w:tc>
          <w:tcPr>
            <w:tcW w:w="73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保修期内免费升级和软件维护；保修期外，原软件维护仅收工时费。</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0" w:hRule="atLeast"/>
          <w:jc w:val="center"/>
        </w:trPr>
        <w:tc>
          <w:tcPr>
            <w:tcW w:w="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4.6</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专用工具、资料及其它</w:t>
            </w:r>
          </w:p>
        </w:tc>
        <w:tc>
          <w:tcPr>
            <w:tcW w:w="73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提供设备配套的维修专用工具，资料（操作手册、维修手册等）</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0" w:hRule="atLeast"/>
          <w:jc w:val="center"/>
        </w:trPr>
        <w:tc>
          <w:tcPr>
            <w:tcW w:w="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4.7</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培训</w:t>
            </w:r>
          </w:p>
        </w:tc>
        <w:tc>
          <w:tcPr>
            <w:tcW w:w="73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中标方需提供相关免费培训服务，提供使用培训和工程师培训（厂家自报方式）</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0" w:hRule="atLeast"/>
          <w:jc w:val="center"/>
        </w:trPr>
        <w:tc>
          <w:tcPr>
            <w:tcW w:w="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4.8</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交货期</w:t>
            </w:r>
          </w:p>
        </w:tc>
        <w:tc>
          <w:tcPr>
            <w:tcW w:w="73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合同签订后30天内交货</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0" w:hRule="atLeast"/>
          <w:jc w:val="center"/>
        </w:trPr>
        <w:tc>
          <w:tcPr>
            <w:tcW w:w="8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4.9</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付款方式</w:t>
            </w:r>
          </w:p>
        </w:tc>
        <w:tc>
          <w:tcPr>
            <w:tcW w:w="733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合同签订后且设备验收合格支付30%，安装调试完成且验收合格后支付65%，维保期满后支付5%</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0" w:hRule="atLeast"/>
          <w:jc w:val="center"/>
        </w:trPr>
        <w:tc>
          <w:tcPr>
            <w:tcW w:w="1003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Style w:val="6"/>
                <w:lang w:val="en-US" w:eastAsia="zh-CN" w:bidi="ar"/>
              </w:rPr>
              <w:t>备注：</w:t>
            </w:r>
            <w:r>
              <w:rPr>
                <w:rStyle w:val="7"/>
                <w:rFonts w:ascii="宋体" w:hAnsi="宋体" w:eastAsia="宋体" w:cs="宋体"/>
                <w:sz w:val="24"/>
                <w:szCs w:val="24"/>
                <w:lang w:val="en-US" w:eastAsia="zh-CN" w:bidi="ar"/>
              </w:rPr>
              <w:t>1.</w:t>
            </w:r>
            <w:r>
              <w:rPr>
                <w:rStyle w:val="6"/>
                <w:lang w:val="en-US" w:eastAsia="zh-CN" w:bidi="ar"/>
              </w:rPr>
              <w:t>加注“*”号的技术指标为关键指标，≥1项未达到招标文件要求，即做废标处理。</w:t>
            </w:r>
            <w:r>
              <w:rPr>
                <w:rStyle w:val="6"/>
                <w:lang w:val="en-US" w:eastAsia="zh-CN" w:bidi="ar"/>
              </w:rPr>
              <w:br w:type="textWrapping"/>
            </w:r>
            <w:r>
              <w:rPr>
                <w:rStyle w:val="6"/>
                <w:lang w:val="en-US" w:eastAsia="zh-CN" w:bidi="ar"/>
              </w:rPr>
              <w:t xml:space="preserve">      2.加注“·”号的技术指标为重要指标。</w:t>
            </w:r>
            <w:r>
              <w:rPr>
                <w:rStyle w:val="6"/>
                <w:lang w:val="en-US" w:eastAsia="zh-CN" w:bidi="ar"/>
              </w:rPr>
              <w:br w:type="textWrapping"/>
            </w:r>
            <w:r>
              <w:rPr>
                <w:rStyle w:val="6"/>
                <w:lang w:val="en-US" w:eastAsia="zh-CN" w:bidi="ar"/>
              </w:rPr>
              <w:t xml:space="preserve">      3.加注“*”、“·”号的技术指标均需投标企业提供证明材料。</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embedRegular r:id="rId1" w:fontKey="{5E329715-CC6B-40C8-A63C-6F6D1C7157CA}"/>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微软雅黑">
    <w:altName w:val="黑体"/>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61007A87" w:usb1="80000000" w:usb2="00000008"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1307FC"/>
    <w:rsid w:val="26576F9A"/>
    <w:rsid w:val="579D6DB6"/>
    <w:rsid w:val="691E422D"/>
    <w:rsid w:val="6FC160F8"/>
    <w:rsid w:val="707B345D"/>
    <w:rsid w:val="75621F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character" w:customStyle="1" w:styleId="4">
    <w:name w:val="font61"/>
    <w:basedOn w:val="3"/>
    <w:uiPriority w:val="0"/>
    <w:rPr>
      <w:rFonts w:hint="eastAsia" w:ascii="黑体" w:eastAsia="黑体" w:cs="黑体"/>
      <w:color w:val="000000"/>
      <w:sz w:val="20"/>
      <w:szCs w:val="20"/>
      <w:u w:val="none"/>
    </w:rPr>
  </w:style>
  <w:style w:type="character" w:customStyle="1" w:styleId="5">
    <w:name w:val="font101"/>
    <w:basedOn w:val="3"/>
    <w:qFormat/>
    <w:uiPriority w:val="0"/>
    <w:rPr>
      <w:rFonts w:ascii="微软雅黑" w:hAnsi="微软雅黑" w:eastAsia="微软雅黑" w:cs="微软雅黑"/>
      <w:color w:val="000000"/>
      <w:sz w:val="20"/>
      <w:szCs w:val="20"/>
      <w:u w:val="none"/>
    </w:rPr>
  </w:style>
  <w:style w:type="character" w:customStyle="1" w:styleId="6">
    <w:name w:val="font21"/>
    <w:basedOn w:val="3"/>
    <w:qFormat/>
    <w:uiPriority w:val="0"/>
    <w:rPr>
      <w:rFonts w:hint="eastAsia" w:ascii="宋体" w:hAnsi="宋体" w:eastAsia="宋体" w:cs="宋体"/>
      <w:color w:val="000000"/>
      <w:sz w:val="20"/>
      <w:szCs w:val="20"/>
      <w:u w:val="none"/>
    </w:rPr>
  </w:style>
  <w:style w:type="character" w:customStyle="1" w:styleId="7">
    <w:name w:val="font112"/>
    <w:basedOn w:val="3"/>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2022-09-09T07:39:00Z</dcterms:created>
  <dc:creator>doctor</dc:creator>
  <cp:lastModifiedBy>doctor</cp:lastModifiedBy>
  <cp:lastPrinted>2022-11-22T01:23:48Z</cp:lastPrinted>
  <dcterms:modified xsi:type="dcterms:W3CDTF">2022-11-22T01:24:57Z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